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27E6" w14:textId="77777777" w:rsidR="005E5B08" w:rsidRPr="005E5B08" w:rsidRDefault="005E5B08" w:rsidP="005E5B08">
      <w:pPr>
        <w:rPr>
          <w:rFonts w:ascii="Times New Roman" w:hAnsi="Times New Roman" w:cs="Times New Roman"/>
          <w:b/>
          <w:bCs/>
        </w:rPr>
      </w:pPr>
      <w:r w:rsidRPr="005E5B08">
        <w:rPr>
          <w:rFonts w:ascii="Times New Roman" w:hAnsi="Times New Roman" w:cs="Times New Roman"/>
          <w:b/>
          <w:bCs/>
        </w:rPr>
        <w:t>EXEMPLAR 2 — Policy Paper: Incarceration of Individuals with Severe Mental Illness</w:t>
      </w:r>
    </w:p>
    <w:p w14:paraId="38948717" w14:textId="77777777" w:rsidR="005E5B08" w:rsidRPr="005E5B08" w:rsidRDefault="005E5B08" w:rsidP="005E5B08">
      <w:pPr>
        <w:rPr>
          <w:rFonts w:ascii="Times New Roman" w:hAnsi="Times New Roman" w:cs="Times New Roman"/>
          <w:b/>
          <w:bCs/>
        </w:rPr>
      </w:pPr>
      <w:r w:rsidRPr="005E5B08">
        <w:rPr>
          <w:rFonts w:ascii="Times New Roman" w:hAnsi="Times New Roman" w:cs="Times New Roman"/>
          <w:b/>
          <w:bCs/>
        </w:rPr>
        <w:t>A. Context</w:t>
      </w:r>
    </w:p>
    <w:p w14:paraId="350F4703" w14:textId="77777777" w:rsidR="005E5B08" w:rsidRPr="005E5B08" w:rsidRDefault="005E5B08" w:rsidP="005E5B08">
      <w:pPr>
        <w:rPr>
          <w:rFonts w:ascii="Times New Roman" w:hAnsi="Times New Roman" w:cs="Times New Roman"/>
        </w:rPr>
      </w:pPr>
      <w:r w:rsidRPr="005E5B08">
        <w:rPr>
          <w:rFonts w:ascii="Times New Roman" w:hAnsi="Times New Roman" w:cs="Times New Roman"/>
        </w:rPr>
        <w:t>In NURS 808, I examined the intersection of severe mental illness (SMI) and the criminal justice system, focusing on how structural failures funnel individuals with psychiatric conditions into incarceration rather than treatment. My subsequent experiences during my clinical rotation at Northern Virginia Mental Health Institute (NVMHI) humanized the issue I had already researched. What I witnessed at NVMHI confirmed that the legal system often becomes the default mental health system for those with the fewest resources. This alignment between scholarship and practice strengthened my understanding of how legislative, structural, and systemic forces shape patient trajectories.</w:t>
      </w:r>
    </w:p>
    <w:p w14:paraId="262406C6" w14:textId="77777777" w:rsidR="005E5B08" w:rsidRPr="005E5B08" w:rsidRDefault="005E5B08" w:rsidP="005E5B08">
      <w:pPr>
        <w:rPr>
          <w:rFonts w:ascii="Times New Roman" w:hAnsi="Times New Roman" w:cs="Times New Roman"/>
          <w:b/>
          <w:bCs/>
        </w:rPr>
      </w:pPr>
      <w:r w:rsidRPr="005E5B08">
        <w:rPr>
          <w:rFonts w:ascii="Times New Roman" w:hAnsi="Times New Roman" w:cs="Times New Roman"/>
          <w:b/>
          <w:bCs/>
        </w:rPr>
        <w:t>B. Framework Application</w:t>
      </w:r>
    </w:p>
    <w:p w14:paraId="4F2494BF" w14:textId="77777777" w:rsidR="005E5B08" w:rsidRPr="005E5B08" w:rsidRDefault="005E5B08" w:rsidP="005E5B08">
      <w:pPr>
        <w:rPr>
          <w:rFonts w:ascii="Times New Roman" w:hAnsi="Times New Roman" w:cs="Times New Roman"/>
        </w:rPr>
      </w:pPr>
      <w:r w:rsidRPr="005E5B08">
        <w:rPr>
          <w:rFonts w:ascii="Times New Roman" w:hAnsi="Times New Roman" w:cs="Times New Roman"/>
          <w:b/>
          <w:bCs/>
        </w:rPr>
        <w:t>AACN Essentials (2021)</w:t>
      </w:r>
      <w:r w:rsidRPr="005E5B08">
        <w:rPr>
          <w:rFonts w:ascii="Times New Roman" w:hAnsi="Times New Roman" w:cs="Times New Roman"/>
        </w:rPr>
        <w:t xml:space="preserve"> informed my analysis through Domains 7 (Systems</w:t>
      </w:r>
      <w:r w:rsidRPr="005E5B08">
        <w:rPr>
          <w:rFonts w:ascii="Times New Roman" w:hAnsi="Times New Roman" w:cs="Times New Roman"/>
        </w:rPr>
        <w:noBreakHyphen/>
        <w:t xml:space="preserve">Based Practice) and 8 (Population Health). These domains guided my evaluation of how fragmented services, inadequate funding, and policy gaps contribute to the criminalization of mental illness. </w:t>
      </w:r>
      <w:r w:rsidRPr="005E5B08">
        <w:rPr>
          <w:rFonts w:ascii="Times New Roman" w:hAnsi="Times New Roman" w:cs="Times New Roman"/>
          <w:b/>
          <w:bCs/>
        </w:rPr>
        <w:t>The Future of Nursing 2020–2030</w:t>
      </w:r>
      <w:r w:rsidRPr="005E5B08">
        <w:rPr>
          <w:rFonts w:ascii="Times New Roman" w:hAnsi="Times New Roman" w:cs="Times New Roman"/>
        </w:rPr>
        <w:t xml:space="preserve"> emphasizes the nurse’s role in addressing structural inequities and advocating for upstream solutions. This framework shaped my focus on diversion programs, crisis stabilization alternatives, and the need for integrated behavioral health services. </w:t>
      </w:r>
      <w:r w:rsidRPr="005E5B08">
        <w:rPr>
          <w:rFonts w:ascii="Times New Roman" w:hAnsi="Times New Roman" w:cs="Times New Roman"/>
          <w:b/>
          <w:bCs/>
        </w:rPr>
        <w:t>Healthy People 2030</w:t>
      </w:r>
      <w:r w:rsidRPr="005E5B08">
        <w:rPr>
          <w:rFonts w:ascii="Times New Roman" w:hAnsi="Times New Roman" w:cs="Times New Roman"/>
        </w:rPr>
        <w:t xml:space="preserve"> reinforced national priorities related to reducing incarceration, improving access to mental health services, and addressing social determinants of health. These objectives aligned directly with the disparities highlighted in my paper.</w:t>
      </w:r>
    </w:p>
    <w:p w14:paraId="496B53C7" w14:textId="77777777" w:rsidR="005E5B08" w:rsidRPr="005E5B08" w:rsidRDefault="005E5B08" w:rsidP="005E5B08">
      <w:pPr>
        <w:rPr>
          <w:rFonts w:ascii="Times New Roman" w:hAnsi="Times New Roman" w:cs="Times New Roman"/>
          <w:b/>
          <w:bCs/>
        </w:rPr>
      </w:pPr>
      <w:r w:rsidRPr="005E5B08">
        <w:rPr>
          <w:rFonts w:ascii="Times New Roman" w:hAnsi="Times New Roman" w:cs="Times New Roman"/>
          <w:b/>
          <w:bCs/>
        </w:rPr>
        <w:t>C. Integration &amp; Synthesis</w:t>
      </w:r>
    </w:p>
    <w:p w14:paraId="3579E4D1" w14:textId="77777777" w:rsidR="005E5B08" w:rsidRPr="005E5B08" w:rsidRDefault="005E5B08" w:rsidP="005E5B08">
      <w:pPr>
        <w:rPr>
          <w:rFonts w:ascii="Times New Roman" w:hAnsi="Times New Roman" w:cs="Times New Roman"/>
        </w:rPr>
      </w:pPr>
      <w:r w:rsidRPr="005E5B08">
        <w:rPr>
          <w:rFonts w:ascii="Times New Roman" w:hAnsi="Times New Roman" w:cs="Times New Roman"/>
        </w:rPr>
        <w:t>Together, these frameworks allowed me to synthesize clinical experience, policy analysis, and population</w:t>
      </w:r>
      <w:r w:rsidRPr="005E5B08">
        <w:rPr>
          <w:rFonts w:ascii="Times New Roman" w:hAnsi="Times New Roman" w:cs="Times New Roman"/>
        </w:rPr>
        <w:noBreakHyphen/>
        <w:t>level priorities:</w:t>
      </w:r>
    </w:p>
    <w:p w14:paraId="204BF281" w14:textId="77777777" w:rsidR="005E5B08" w:rsidRPr="005E5B08" w:rsidRDefault="005E5B08" w:rsidP="005E5B08">
      <w:pPr>
        <w:numPr>
          <w:ilvl w:val="0"/>
          <w:numId w:val="1"/>
        </w:numPr>
        <w:spacing w:after="0" w:line="240" w:lineRule="auto"/>
        <w:rPr>
          <w:rFonts w:ascii="Times New Roman" w:hAnsi="Times New Roman" w:cs="Times New Roman"/>
        </w:rPr>
      </w:pPr>
      <w:r w:rsidRPr="005E5B08">
        <w:rPr>
          <w:rFonts w:ascii="Times New Roman" w:hAnsi="Times New Roman" w:cs="Times New Roman"/>
          <w:b/>
          <w:bCs/>
        </w:rPr>
        <w:t>AACN Essentials</w:t>
      </w:r>
      <w:r w:rsidRPr="005E5B08">
        <w:rPr>
          <w:rFonts w:ascii="Times New Roman" w:hAnsi="Times New Roman" w:cs="Times New Roman"/>
        </w:rPr>
        <w:t xml:space="preserve"> → clarified the systems failures contributing to incarceration</w:t>
      </w:r>
    </w:p>
    <w:p w14:paraId="1CA30AC5" w14:textId="77777777" w:rsidR="005E5B08" w:rsidRPr="005E5B08" w:rsidRDefault="005E5B08" w:rsidP="005E5B08">
      <w:pPr>
        <w:numPr>
          <w:ilvl w:val="0"/>
          <w:numId w:val="1"/>
        </w:numPr>
        <w:spacing w:after="0" w:line="240" w:lineRule="auto"/>
        <w:rPr>
          <w:rFonts w:ascii="Times New Roman" w:hAnsi="Times New Roman" w:cs="Times New Roman"/>
        </w:rPr>
      </w:pPr>
      <w:r w:rsidRPr="005E5B08">
        <w:rPr>
          <w:rFonts w:ascii="Times New Roman" w:hAnsi="Times New Roman" w:cs="Times New Roman"/>
          <w:b/>
          <w:bCs/>
        </w:rPr>
        <w:t>Future of Nursing</w:t>
      </w:r>
      <w:r w:rsidRPr="005E5B08">
        <w:rPr>
          <w:rFonts w:ascii="Times New Roman" w:hAnsi="Times New Roman" w:cs="Times New Roman"/>
        </w:rPr>
        <w:t xml:space="preserve"> → framed the nurse’s responsibility to advocate for structural change</w:t>
      </w:r>
    </w:p>
    <w:p w14:paraId="35E0DB1E" w14:textId="77777777" w:rsidR="005E5B08" w:rsidRPr="005E5B08" w:rsidRDefault="005E5B08" w:rsidP="005E5B08">
      <w:pPr>
        <w:numPr>
          <w:ilvl w:val="0"/>
          <w:numId w:val="1"/>
        </w:numPr>
        <w:rPr>
          <w:rFonts w:ascii="Times New Roman" w:hAnsi="Times New Roman" w:cs="Times New Roman"/>
        </w:rPr>
      </w:pPr>
      <w:r w:rsidRPr="005E5B08">
        <w:rPr>
          <w:rFonts w:ascii="Times New Roman" w:hAnsi="Times New Roman" w:cs="Times New Roman"/>
          <w:b/>
          <w:bCs/>
        </w:rPr>
        <w:t>Healthy People</w:t>
      </w:r>
      <w:r w:rsidRPr="005E5B08">
        <w:rPr>
          <w:rFonts w:ascii="Times New Roman" w:hAnsi="Times New Roman" w:cs="Times New Roman"/>
        </w:rPr>
        <w:t xml:space="preserve"> → grounded the issue in national health equity goals</w:t>
      </w:r>
    </w:p>
    <w:p w14:paraId="0E42E68B" w14:textId="77777777" w:rsidR="005E5B08" w:rsidRPr="005E5B08" w:rsidRDefault="005E5B08" w:rsidP="005E5B08">
      <w:pPr>
        <w:rPr>
          <w:rFonts w:ascii="Times New Roman" w:hAnsi="Times New Roman" w:cs="Times New Roman"/>
        </w:rPr>
      </w:pPr>
      <w:r w:rsidRPr="005E5B08">
        <w:rPr>
          <w:rFonts w:ascii="Times New Roman" w:hAnsi="Times New Roman" w:cs="Times New Roman"/>
        </w:rPr>
        <w:t>This integration strengthened my understanding of how policy decisions reverberate through crisis systems and confirmed what I observed clinically: individuals with SMI are disproportionately criminalized due to systemic neglect, not personal failure.</w:t>
      </w:r>
    </w:p>
    <w:p w14:paraId="37931167" w14:textId="77777777" w:rsidR="005E5B08" w:rsidRPr="005E5B08" w:rsidRDefault="005E5B08" w:rsidP="005E5B08">
      <w:pPr>
        <w:rPr>
          <w:rFonts w:ascii="Times New Roman" w:hAnsi="Times New Roman" w:cs="Times New Roman"/>
          <w:b/>
          <w:bCs/>
        </w:rPr>
      </w:pPr>
      <w:r w:rsidRPr="005E5B08">
        <w:rPr>
          <w:rFonts w:ascii="Times New Roman" w:hAnsi="Times New Roman" w:cs="Times New Roman"/>
          <w:b/>
          <w:bCs/>
        </w:rPr>
        <w:t>D. Impact</w:t>
      </w:r>
    </w:p>
    <w:p w14:paraId="200F6B05" w14:textId="77777777" w:rsidR="005E5B08" w:rsidRPr="005E5B08" w:rsidRDefault="005E5B08" w:rsidP="005E5B08">
      <w:pPr>
        <w:rPr>
          <w:rFonts w:ascii="Times New Roman" w:hAnsi="Times New Roman" w:cs="Times New Roman"/>
        </w:rPr>
      </w:pPr>
      <w:r w:rsidRPr="005E5B08">
        <w:rPr>
          <w:rFonts w:ascii="Times New Roman" w:hAnsi="Times New Roman" w:cs="Times New Roman"/>
        </w:rPr>
        <w:t>This policy analysis deepened my commitment to trauma</w:t>
      </w:r>
      <w:r w:rsidRPr="005E5B08">
        <w:rPr>
          <w:rFonts w:ascii="Times New Roman" w:hAnsi="Times New Roman" w:cs="Times New Roman"/>
        </w:rPr>
        <w:noBreakHyphen/>
        <w:t>informed, equitable psychiatric care and reinforced my belief that upstream interventions—crisis stabilization, nonpharmacological strategies, and community</w:t>
      </w:r>
      <w:r w:rsidRPr="005E5B08">
        <w:rPr>
          <w:rFonts w:ascii="Times New Roman" w:hAnsi="Times New Roman" w:cs="Times New Roman"/>
        </w:rPr>
        <w:noBreakHyphen/>
        <w:t xml:space="preserve">based supports—are essential to reducing criminalization. It also strengthened my identity as a clinician who sees beyond the bedside, recognizing the legislative and structural forces that shape patient outcomes. This </w:t>
      </w:r>
      <w:proofErr w:type="gramStart"/>
      <w:r w:rsidRPr="005E5B08">
        <w:rPr>
          <w:rFonts w:ascii="Times New Roman" w:hAnsi="Times New Roman" w:cs="Times New Roman"/>
        </w:rPr>
        <w:t>exemplar</w:t>
      </w:r>
      <w:proofErr w:type="gramEnd"/>
      <w:r w:rsidRPr="005E5B08">
        <w:rPr>
          <w:rFonts w:ascii="Times New Roman" w:hAnsi="Times New Roman" w:cs="Times New Roman"/>
        </w:rPr>
        <w:t xml:space="preserve"> represents the moment where my clinical observations, ethical commitments, and systems</w:t>
      </w:r>
      <w:r w:rsidRPr="005E5B08">
        <w:rPr>
          <w:rFonts w:ascii="Times New Roman" w:hAnsi="Times New Roman" w:cs="Times New Roman"/>
        </w:rPr>
        <w:noBreakHyphen/>
        <w:t>level thinking converged.</w:t>
      </w:r>
    </w:p>
    <w:p w14:paraId="21620E6A" w14:textId="77777777" w:rsidR="001220EA" w:rsidRPr="005E5B08" w:rsidRDefault="001220EA">
      <w:pPr>
        <w:rPr>
          <w:rFonts w:ascii="Times New Roman" w:hAnsi="Times New Roman" w:cs="Times New Roman"/>
        </w:rPr>
      </w:pPr>
    </w:p>
    <w:sectPr w:rsidR="001220EA" w:rsidRPr="005E5B08" w:rsidSect="005E5B0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94E45"/>
    <w:multiLevelType w:val="multilevel"/>
    <w:tmpl w:val="C2CC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08"/>
    <w:rsid w:val="001220EA"/>
    <w:rsid w:val="005E5B08"/>
    <w:rsid w:val="007B41D6"/>
    <w:rsid w:val="00874FDF"/>
    <w:rsid w:val="00E1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6EB2"/>
  <w15:chartTrackingRefBased/>
  <w15:docId w15:val="{828CC4DA-FE08-44FB-AFB7-AAF4E89B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B08"/>
  </w:style>
  <w:style w:type="paragraph" w:styleId="Heading1">
    <w:name w:val="heading 1"/>
    <w:basedOn w:val="Normal"/>
    <w:next w:val="Normal"/>
    <w:link w:val="Heading1Char"/>
    <w:uiPriority w:val="9"/>
    <w:qFormat/>
    <w:rsid w:val="005E5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B08"/>
    <w:rPr>
      <w:rFonts w:eastAsiaTheme="majorEastAsia" w:cstheme="majorBidi"/>
      <w:color w:val="272727" w:themeColor="text1" w:themeTint="D8"/>
    </w:rPr>
  </w:style>
  <w:style w:type="paragraph" w:styleId="Title">
    <w:name w:val="Title"/>
    <w:basedOn w:val="Normal"/>
    <w:next w:val="Normal"/>
    <w:link w:val="TitleChar"/>
    <w:uiPriority w:val="10"/>
    <w:qFormat/>
    <w:rsid w:val="005E5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B08"/>
    <w:pPr>
      <w:spacing w:before="160"/>
      <w:jc w:val="center"/>
    </w:pPr>
    <w:rPr>
      <w:i/>
      <w:iCs/>
      <w:color w:val="404040" w:themeColor="text1" w:themeTint="BF"/>
    </w:rPr>
  </w:style>
  <w:style w:type="character" w:customStyle="1" w:styleId="QuoteChar">
    <w:name w:val="Quote Char"/>
    <w:basedOn w:val="DefaultParagraphFont"/>
    <w:link w:val="Quote"/>
    <w:uiPriority w:val="29"/>
    <w:rsid w:val="005E5B08"/>
    <w:rPr>
      <w:i/>
      <w:iCs/>
      <w:color w:val="404040" w:themeColor="text1" w:themeTint="BF"/>
    </w:rPr>
  </w:style>
  <w:style w:type="paragraph" w:styleId="ListParagraph">
    <w:name w:val="List Paragraph"/>
    <w:basedOn w:val="Normal"/>
    <w:uiPriority w:val="34"/>
    <w:qFormat/>
    <w:rsid w:val="005E5B08"/>
    <w:pPr>
      <w:ind w:left="720"/>
      <w:contextualSpacing/>
    </w:pPr>
  </w:style>
  <w:style w:type="character" w:styleId="IntenseEmphasis">
    <w:name w:val="Intense Emphasis"/>
    <w:basedOn w:val="DefaultParagraphFont"/>
    <w:uiPriority w:val="21"/>
    <w:qFormat/>
    <w:rsid w:val="005E5B08"/>
    <w:rPr>
      <w:i/>
      <w:iCs/>
      <w:color w:val="0F4761" w:themeColor="accent1" w:themeShade="BF"/>
    </w:rPr>
  </w:style>
  <w:style w:type="paragraph" w:styleId="IntenseQuote">
    <w:name w:val="Intense Quote"/>
    <w:basedOn w:val="Normal"/>
    <w:next w:val="Normal"/>
    <w:link w:val="IntenseQuoteChar"/>
    <w:uiPriority w:val="30"/>
    <w:qFormat/>
    <w:rsid w:val="005E5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B08"/>
    <w:rPr>
      <w:i/>
      <w:iCs/>
      <w:color w:val="0F4761" w:themeColor="accent1" w:themeShade="BF"/>
    </w:rPr>
  </w:style>
  <w:style w:type="character" w:styleId="IntenseReference">
    <w:name w:val="Intense Reference"/>
    <w:basedOn w:val="DefaultParagraphFont"/>
    <w:uiPriority w:val="32"/>
    <w:qFormat/>
    <w:rsid w:val="005E5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Boas</dc:creator>
  <cp:keywords/>
  <dc:description/>
  <cp:lastModifiedBy>Darren Boas</cp:lastModifiedBy>
  <cp:revision>1</cp:revision>
  <dcterms:created xsi:type="dcterms:W3CDTF">2026-04-06T01:49:00Z</dcterms:created>
  <dcterms:modified xsi:type="dcterms:W3CDTF">2026-04-06T01:50:00Z</dcterms:modified>
</cp:coreProperties>
</file>